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AA79" w14:textId="1CCA733F" w:rsidR="005F3011" w:rsidRDefault="005F3011" w:rsidP="00E1419B">
      <w:pPr>
        <w:pStyle w:val="Title"/>
        <w:rPr>
          <w:lang w:val="en-US" w:eastAsia="en-US"/>
        </w:rPr>
      </w:pPr>
      <w:r>
        <w:rPr>
          <w:lang w:val="en-US" w:eastAsia="en-US"/>
        </w:rPr>
        <w:t>Bumpy road to virtual control groups</w:t>
      </w:r>
    </w:p>
    <w:p w14:paraId="613B81EB" w14:textId="77777777" w:rsidR="005F3011" w:rsidRDefault="005F3011" w:rsidP="005F3011">
      <w:pPr>
        <w:spacing w:line="240" w:lineRule="auto"/>
        <w:rPr>
          <w:rFonts w:ascii="Times New Roman" w:hAnsi="Times New Roman"/>
          <w:sz w:val="24"/>
          <w:szCs w:val="24"/>
          <w:lang w:val="en-US" w:eastAsia="en-US"/>
        </w:rPr>
      </w:pPr>
    </w:p>
    <w:p w14:paraId="499F2370" w14:textId="77777777" w:rsidR="00E1419B" w:rsidRDefault="00E1419B" w:rsidP="005F3011">
      <w:pPr>
        <w:spacing w:line="240" w:lineRule="auto"/>
        <w:rPr>
          <w:rFonts w:ascii="Times New Roman" w:hAnsi="Times New Roman"/>
          <w:sz w:val="24"/>
          <w:szCs w:val="24"/>
          <w:lang w:val="en-US" w:eastAsia="en-US"/>
        </w:rPr>
      </w:pPr>
    </w:p>
    <w:p w14:paraId="0CE4392B" w14:textId="77777777" w:rsidR="00764B8D" w:rsidRPr="00764B8D" w:rsidRDefault="00764B8D" w:rsidP="00764B8D">
      <w:pPr>
        <w:keepNext/>
        <w:autoSpaceDE w:val="0"/>
        <w:autoSpaceDN w:val="0"/>
        <w:rPr>
          <w:lang w:val="en-US"/>
        </w:rPr>
      </w:pPr>
      <w:r w:rsidRPr="00764B8D">
        <w:rPr>
          <w:lang w:val="en-US"/>
        </w:rPr>
        <w:t>In systemic toxicity studies replacement of concurrent control animals by so-called Virtual Control Groups (VCGs) may reduce the use of animals thus contributing to the 3R's principle of animal experimentation: Reduce, Refine, Replace.</w:t>
      </w:r>
    </w:p>
    <w:p w14:paraId="6B1F55E4" w14:textId="0A00DEF1" w:rsidR="00764B8D" w:rsidRPr="00764B8D" w:rsidRDefault="00764B8D" w:rsidP="00540C75">
      <w:pPr>
        <w:keepNext/>
        <w:autoSpaceDE w:val="0"/>
        <w:autoSpaceDN w:val="0"/>
        <w:rPr>
          <w:lang w:val="en-US"/>
        </w:rPr>
      </w:pPr>
      <w:r w:rsidRPr="00764B8D">
        <w:rPr>
          <w:lang w:val="en-US"/>
        </w:rPr>
        <w:t>Although VCGs are an established concept in clinical trials, the idea of replacing living beings with virtual data from historical data sets has so far not been introduced into the design of regulatory animal studies</w:t>
      </w:r>
      <w:r w:rsidRPr="00764B8D">
        <w:rPr>
          <w:vertAlign w:val="superscript"/>
          <w:lang w:val="en-US"/>
        </w:rPr>
        <w:t>1</w:t>
      </w:r>
      <w:r w:rsidRPr="00764B8D">
        <w:rPr>
          <w:lang w:val="en-US"/>
        </w:rPr>
        <w:t xml:space="preserve">. However, major steps facilitating review of methodology for derivation of </w:t>
      </w:r>
      <w:proofErr w:type="spellStart"/>
      <w:r w:rsidRPr="00764B8D">
        <w:rPr>
          <w:lang w:val="en-US"/>
        </w:rPr>
        <w:t>ViCoGs</w:t>
      </w:r>
      <w:proofErr w:type="spellEnd"/>
      <w:r w:rsidRPr="00764B8D">
        <w:rPr>
          <w:lang w:val="en-US"/>
        </w:rPr>
        <w:t xml:space="preserve"> from historical control data and performance testing in statistical analysis, are the collection, curation and sharing of suitable sets of historical control data from preclinical toxicity studies.</w:t>
      </w:r>
    </w:p>
    <w:p w14:paraId="2C2F07B0" w14:textId="5E467B40" w:rsidR="00764B8D" w:rsidRPr="00764B8D" w:rsidRDefault="00764B8D" w:rsidP="00764B8D">
      <w:pPr>
        <w:keepNext/>
        <w:autoSpaceDE w:val="0"/>
        <w:autoSpaceDN w:val="0"/>
        <w:rPr>
          <w:lang w:val="en-US"/>
        </w:rPr>
      </w:pPr>
      <w:r w:rsidRPr="00764B8D">
        <w:rPr>
          <w:lang w:val="en-US"/>
        </w:rPr>
        <w:t xml:space="preserve">This talk will summarize accomplished and ongoing efforts for cross-industry provision of data resources, </w:t>
      </w:r>
      <w:proofErr w:type="gramStart"/>
      <w:r w:rsidRPr="00764B8D">
        <w:rPr>
          <w:lang w:val="en-US"/>
        </w:rPr>
        <w:t>standardization</w:t>
      </w:r>
      <w:proofErr w:type="gramEnd"/>
      <w:r w:rsidRPr="00764B8D">
        <w:rPr>
          <w:lang w:val="en-US"/>
        </w:rPr>
        <w:t xml:space="preserve"> and curation activities</w:t>
      </w:r>
      <w:r>
        <w:rPr>
          <w:lang w:val="en-US"/>
        </w:rPr>
        <w:t xml:space="preserve">. A </w:t>
      </w:r>
      <w:r w:rsidRPr="00764B8D">
        <w:rPr>
          <w:lang w:val="en-US"/>
        </w:rPr>
        <w:t xml:space="preserve">line out </w:t>
      </w:r>
      <w:r>
        <w:rPr>
          <w:lang w:val="en-US"/>
        </w:rPr>
        <w:t xml:space="preserve">of </w:t>
      </w:r>
      <w:r w:rsidRPr="00764B8D">
        <w:rPr>
          <w:lang w:val="en-US"/>
        </w:rPr>
        <w:t xml:space="preserve">both general ideas and specific methodology for derivation of </w:t>
      </w:r>
      <w:proofErr w:type="spellStart"/>
      <w:r w:rsidRPr="00764B8D">
        <w:rPr>
          <w:lang w:val="en-US"/>
        </w:rPr>
        <w:t>ViCoGs</w:t>
      </w:r>
      <w:proofErr w:type="spellEnd"/>
      <w:r>
        <w:rPr>
          <w:lang w:val="en-US"/>
        </w:rPr>
        <w:t xml:space="preserve"> shall serve the discussion of advantages and pitfalls</w:t>
      </w:r>
      <w:r w:rsidRPr="00764B8D">
        <w:rPr>
          <w:lang w:val="en-US"/>
        </w:rPr>
        <w:t xml:space="preserve">. </w:t>
      </w:r>
    </w:p>
    <w:p w14:paraId="350112C1" w14:textId="7A0ADD51" w:rsidR="00035A34" w:rsidRDefault="00764B8D" w:rsidP="00764B8D">
      <w:pPr>
        <w:keepNext/>
        <w:autoSpaceDE w:val="0"/>
        <w:autoSpaceDN w:val="0"/>
        <w:rPr>
          <w:lang w:val="en-US"/>
        </w:rPr>
      </w:pPr>
      <w:r>
        <w:rPr>
          <w:lang w:val="en-US"/>
        </w:rPr>
        <w:t>R</w:t>
      </w:r>
      <w:r w:rsidRPr="00764B8D">
        <w:rPr>
          <w:lang w:val="en-US"/>
        </w:rPr>
        <w:t>eal-world examples</w:t>
      </w:r>
      <w:r>
        <w:rPr>
          <w:lang w:val="en-US"/>
        </w:rPr>
        <w:t xml:space="preserve"> and</w:t>
      </w:r>
      <w:r w:rsidRPr="00764B8D">
        <w:rPr>
          <w:lang w:val="en-US"/>
        </w:rPr>
        <w:t xml:space="preserve"> case studies</w:t>
      </w:r>
      <w:r w:rsidRPr="00764B8D">
        <w:rPr>
          <w:vertAlign w:val="superscript"/>
          <w:lang w:val="en-US"/>
        </w:rPr>
        <w:t>2</w:t>
      </w:r>
      <w:r>
        <w:rPr>
          <w:lang w:val="en-US"/>
        </w:rPr>
        <w:t xml:space="preserve"> will illustrate how certain methods impact the study results of toxicity studies</w:t>
      </w:r>
      <w:r w:rsidRPr="00764B8D">
        <w:rPr>
          <w:lang w:val="en-US"/>
        </w:rPr>
        <w:t>. Further, ideas for transferring these insights into regulations and guidelines, especially possibilities for reaching out for regulatory advice to gain acceptance of this concept as early as possible</w:t>
      </w:r>
      <w:r w:rsidRPr="00764B8D">
        <w:rPr>
          <w:vertAlign w:val="superscript"/>
          <w:lang w:val="en-US"/>
        </w:rPr>
        <w:t>1</w:t>
      </w:r>
      <w:r w:rsidRPr="00764B8D">
        <w:rPr>
          <w:lang w:val="en-US"/>
        </w:rPr>
        <w:t xml:space="preserve"> will be discussed. </w:t>
      </w:r>
      <w:r w:rsidRPr="00764B8D">
        <w:rPr>
          <w:lang w:val="en-US"/>
        </w:rPr>
        <w:br/>
      </w:r>
    </w:p>
    <w:p w14:paraId="6ADB3AC8" w14:textId="77777777" w:rsidR="00764B8D" w:rsidRPr="00764B8D" w:rsidRDefault="00764B8D" w:rsidP="00764B8D">
      <w:pPr>
        <w:rPr>
          <w:lang w:val="en-US"/>
        </w:rPr>
      </w:pPr>
      <w:r w:rsidRPr="00764B8D">
        <w:rPr>
          <w:lang w:val="en-US"/>
        </w:rPr>
        <w:t>[1]</w:t>
      </w:r>
      <w:r w:rsidRPr="00764B8D">
        <w:rPr>
          <w:lang w:val="en-US"/>
        </w:rPr>
        <w:tab/>
        <w:t xml:space="preserve">Steger-Hartmann, T., Kreuchwig, A., Vaas, L., Wichard, J., Bringezu, F., Amberg, A., Muster, W., Pognan, F. and Barber, C. (2020) Introducing the concept of virtual control groups into preclinical toxicology testing, ALTEX - Alternatives to animal experimentation, 37(3), pp. 343–349. </w:t>
      </w:r>
      <w:proofErr w:type="spellStart"/>
      <w:r w:rsidRPr="00764B8D">
        <w:rPr>
          <w:lang w:val="en-US"/>
        </w:rPr>
        <w:t>doi</w:t>
      </w:r>
      <w:proofErr w:type="spellEnd"/>
      <w:r w:rsidRPr="00764B8D">
        <w:rPr>
          <w:lang w:val="en-US"/>
        </w:rPr>
        <w:t>: 10.14573/altex.2001311.</w:t>
      </w:r>
    </w:p>
    <w:p w14:paraId="776AE983" w14:textId="77777777" w:rsidR="00764B8D" w:rsidRPr="008F7840" w:rsidRDefault="00764B8D" w:rsidP="00764B8D">
      <w:r w:rsidRPr="00764B8D">
        <w:rPr>
          <w:lang w:val="en-US"/>
        </w:rPr>
        <w:t>[2]</w:t>
      </w:r>
      <w:r w:rsidRPr="00764B8D">
        <w:rPr>
          <w:lang w:val="en-US"/>
        </w:rPr>
        <w:tab/>
        <w:t xml:space="preserve">Gurjanov, A., Steger-Hartmann, T., Kreuchwig, A., and Vaas, </w:t>
      </w:r>
      <w:proofErr w:type="gramStart"/>
      <w:r w:rsidRPr="00764B8D">
        <w:rPr>
          <w:lang w:val="en-US"/>
        </w:rPr>
        <w:t>L.A.I.(</w:t>
      </w:r>
      <w:proofErr w:type="gramEnd"/>
      <w:r w:rsidRPr="00764B8D">
        <w:rPr>
          <w:lang w:val="en-US"/>
        </w:rPr>
        <w:t xml:space="preserve">2023) Hurdles and Signposts on the Road to Virtual Control Groups -A Case study illustrating the Influence of Anesthesia Protocols on Electrolyte Levels in Rats, Front. </w:t>
      </w:r>
      <w:proofErr w:type="spellStart"/>
      <w:r w:rsidRPr="00C27C02">
        <w:t>Pharmacol</w:t>
      </w:r>
      <w:proofErr w:type="spellEnd"/>
      <w:r w:rsidRPr="00C27C02">
        <w:t>.</w:t>
      </w:r>
      <w:r>
        <w:t xml:space="preserve"> </w:t>
      </w:r>
      <w:r w:rsidRPr="00C27C02">
        <w:t xml:space="preserve">Sec. </w:t>
      </w:r>
      <w:proofErr w:type="spellStart"/>
      <w:r w:rsidRPr="00C27C02">
        <w:t>Predictive</w:t>
      </w:r>
      <w:proofErr w:type="spellEnd"/>
      <w:r w:rsidRPr="00C27C02">
        <w:t xml:space="preserve"> </w:t>
      </w:r>
      <w:proofErr w:type="spellStart"/>
      <w:r w:rsidRPr="00C27C02">
        <w:t>Toxicology</w:t>
      </w:r>
      <w:proofErr w:type="spellEnd"/>
      <w:r w:rsidRPr="00C27C02">
        <w:t xml:space="preserve"> </w:t>
      </w:r>
      <w:r>
        <w:t xml:space="preserve">2023 </w:t>
      </w:r>
      <w:proofErr w:type="spellStart"/>
      <w:r w:rsidRPr="00C27C02">
        <w:t>Vol</w:t>
      </w:r>
      <w:proofErr w:type="spellEnd"/>
      <w:r w:rsidRPr="00C27C02">
        <w:t xml:space="preserve"> 14</w:t>
      </w:r>
      <w:r>
        <w:t xml:space="preserve">. </w:t>
      </w:r>
      <w:proofErr w:type="spellStart"/>
      <w:r>
        <w:t>doi</w:t>
      </w:r>
      <w:proofErr w:type="spellEnd"/>
      <w:r>
        <w:t xml:space="preserve">: </w:t>
      </w:r>
      <w:r w:rsidRPr="00306945">
        <w:t>10.3389/fphar.2023.1142534</w:t>
      </w:r>
    </w:p>
    <w:p w14:paraId="0DD977F2" w14:textId="77777777" w:rsidR="00764B8D" w:rsidRPr="005F3011" w:rsidRDefault="00764B8D" w:rsidP="00764B8D">
      <w:pPr>
        <w:keepNext/>
        <w:autoSpaceDE w:val="0"/>
        <w:autoSpaceDN w:val="0"/>
        <w:rPr>
          <w:lang w:val="en-US"/>
        </w:rPr>
      </w:pPr>
    </w:p>
    <w:sectPr w:rsidR="00764B8D" w:rsidRPr="005F3011" w:rsidSect="00DD5A04">
      <w:footerReference w:type="default" r:id="rId8"/>
      <w:type w:val="continuous"/>
      <w:pgSz w:w="11906" w:h="16838"/>
      <w:pgMar w:top="900" w:right="1106" w:bottom="15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86D7" w14:textId="77777777" w:rsidR="005F3011" w:rsidRDefault="005F3011" w:rsidP="00035A34">
      <w:pPr>
        <w:spacing w:line="240" w:lineRule="auto"/>
      </w:pPr>
      <w:r>
        <w:separator/>
      </w:r>
    </w:p>
  </w:endnote>
  <w:endnote w:type="continuationSeparator" w:id="0">
    <w:p w14:paraId="0532A0E2" w14:textId="77777777" w:rsidR="005F3011" w:rsidRDefault="005F3011" w:rsidP="00035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75EF" w14:textId="77777777" w:rsidR="00035A34" w:rsidRDefault="0086613A">
    <w:pPr>
      <w:pStyle w:val="Footer"/>
    </w:pPr>
    <w:r>
      <w:rPr>
        <w:noProof/>
      </w:rPr>
      <mc:AlternateContent>
        <mc:Choice Requires="wps">
          <w:drawing>
            <wp:anchor distT="0" distB="0" distL="114300" distR="114300" simplePos="0" relativeHeight="251663360" behindDoc="0" locked="0" layoutInCell="0" allowOverlap="1" wp14:anchorId="2C8EAF08" wp14:editId="78DD812C">
              <wp:simplePos x="0" y="0"/>
              <wp:positionH relativeFrom="page">
                <wp:posOffset>0</wp:posOffset>
              </wp:positionH>
              <wp:positionV relativeFrom="page">
                <wp:posOffset>10125641</wp:posOffset>
              </wp:positionV>
              <wp:extent cx="7560310" cy="375920"/>
              <wp:effectExtent l="0" t="0" r="0" b="5080"/>
              <wp:wrapNone/>
              <wp:docPr id="5" name="MSIPCM735f423ca950c263c18404e5" descr="{&quot;HashCode&quot;:-242339457,&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B168D2" w14:textId="77777777" w:rsidR="0086613A" w:rsidRPr="0086613A" w:rsidRDefault="0086613A" w:rsidP="0086613A">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C8EAF08" id="_x0000_t202" coordsize="21600,21600" o:spt="202" path="m,l,21600r21600,l21600,xe">
              <v:stroke joinstyle="miter"/>
              <v:path gradientshapeok="t" o:connecttype="rect"/>
            </v:shapetype>
            <v:shape id="MSIPCM735f423ca950c263c18404e5" o:spid="_x0000_s1026" type="#_x0000_t202" alt="{&quot;HashCode&quot;:-242339457,&quot;Height&quot;:841.0,&quot;Width&quot;:595.0,&quot;Placement&quot;:&quot;Footer&quot;,&quot;Index&quot;:&quot;Primary&quot;,&quot;Section&quot;:3,&quot;Top&quot;:0.0,&quot;Left&quot;:0.0}" style="position:absolute;margin-left:0;margin-top:797.3pt;width:595.3pt;height:29.6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" o:allowincell="f" filled="f" stroked="f" strokeweight=".5pt">
              <v:textbox inset=",0,20pt,0">
                <w:txbxContent>
                  <w:p w14:paraId="64B168D2" w14:textId="77777777" w:rsidR="0086613A" w:rsidRPr="0086613A" w:rsidRDefault="0086613A" w:rsidP="0086613A">
                    <w:pPr>
                      <w:jc w:val="right"/>
                      <w:rPr>
                        <w:rFonts w:ascii="Calibri" w:hAnsi="Calibri" w:cs="Calibri"/>
                        <w:color w:val="FF8939"/>
                        <w:sz w:val="4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93967" w14:textId="77777777" w:rsidR="005F3011" w:rsidRDefault="005F3011" w:rsidP="00035A34">
      <w:pPr>
        <w:spacing w:line="240" w:lineRule="auto"/>
      </w:pPr>
      <w:r>
        <w:separator/>
      </w:r>
    </w:p>
  </w:footnote>
  <w:footnote w:type="continuationSeparator" w:id="0">
    <w:p w14:paraId="021CF65E" w14:textId="77777777" w:rsidR="005F3011" w:rsidRDefault="005F3011" w:rsidP="00035A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erLegalEntityDelimiter" w:val="\n"/>
  </w:docVars>
  <w:rsids>
    <w:rsidRoot w:val="005F3011"/>
    <w:rsid w:val="00035A34"/>
    <w:rsid w:val="00042881"/>
    <w:rsid w:val="001C3AC7"/>
    <w:rsid w:val="001F1034"/>
    <w:rsid w:val="002067F3"/>
    <w:rsid w:val="00250F17"/>
    <w:rsid w:val="002648F8"/>
    <w:rsid w:val="0028063F"/>
    <w:rsid w:val="00295DA5"/>
    <w:rsid w:val="002E796A"/>
    <w:rsid w:val="0030562B"/>
    <w:rsid w:val="00385CF6"/>
    <w:rsid w:val="004C45AC"/>
    <w:rsid w:val="0053536C"/>
    <w:rsid w:val="00540C75"/>
    <w:rsid w:val="00541546"/>
    <w:rsid w:val="005B4A1C"/>
    <w:rsid w:val="005F3011"/>
    <w:rsid w:val="006C4355"/>
    <w:rsid w:val="006D2395"/>
    <w:rsid w:val="00764B8D"/>
    <w:rsid w:val="00792B71"/>
    <w:rsid w:val="0086613A"/>
    <w:rsid w:val="008B0CCA"/>
    <w:rsid w:val="008C391C"/>
    <w:rsid w:val="008E7103"/>
    <w:rsid w:val="00A32C03"/>
    <w:rsid w:val="00A8654B"/>
    <w:rsid w:val="00A96DDC"/>
    <w:rsid w:val="00B84750"/>
    <w:rsid w:val="00C117D2"/>
    <w:rsid w:val="00C14FD6"/>
    <w:rsid w:val="00C73C2B"/>
    <w:rsid w:val="00CC0708"/>
    <w:rsid w:val="00DD5A04"/>
    <w:rsid w:val="00E1419B"/>
    <w:rsid w:val="00E16EED"/>
    <w:rsid w:val="00E218B3"/>
    <w:rsid w:val="00E462B5"/>
    <w:rsid w:val="00EB6A52"/>
    <w:rsid w:val="00F04661"/>
    <w:rsid w:val="00F10356"/>
    <w:rsid w:val="00F17B80"/>
    <w:rsid w:val="00F66CC6"/>
    <w:rsid w:val="00FF1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91B68"/>
  <w15:chartTrackingRefBased/>
  <w15:docId w15:val="{3F4A7712-D679-417F-BB0E-61F22BE5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A34"/>
    <w:pPr>
      <w:spacing w:after="0" w:line="300" w:lineRule="exact"/>
    </w:pPr>
    <w:rPr>
      <w:rFonts w:ascii="Arial" w:hAnsi="Arial" w:cs="Times New Roman"/>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zeichnis">
    <w:name w:val="Verzeichnis"/>
    <w:basedOn w:val="TableofFigures"/>
    <w:link w:val="VerzeichnisChar"/>
    <w:autoRedefine/>
    <w:qFormat/>
    <w:rsid w:val="00E16EED"/>
    <w:pPr>
      <w:framePr w:wrap="notBeside" w:hAnchor="text"/>
      <w:ind w:right="1133"/>
    </w:pPr>
    <w:rPr>
      <w:b w:val="0"/>
    </w:rPr>
  </w:style>
  <w:style w:type="character" w:customStyle="1" w:styleId="VerzeichnisChar">
    <w:name w:val="Verzeichnis Char"/>
    <w:basedOn w:val="DefaultParagraphFont"/>
    <w:link w:val="Verzeichnis"/>
    <w:rsid w:val="00E16EED"/>
    <w:rPr>
      <w:rFonts w:ascii="Arial" w:hAnsi="Arial"/>
      <w:b/>
      <w:color w:val="000000"/>
    </w:rPr>
  </w:style>
  <w:style w:type="paragraph" w:styleId="TableofFigures">
    <w:name w:val="table of figures"/>
    <w:basedOn w:val="Normal"/>
    <w:next w:val="Normal"/>
    <w:link w:val="TableofFiguresChar"/>
    <w:uiPriority w:val="99"/>
    <w:unhideWhenUsed/>
    <w:rsid w:val="002E796A"/>
    <w:pPr>
      <w:tabs>
        <w:tab w:val="right" w:leader="dot" w:pos="9639"/>
      </w:tabs>
      <w:spacing w:before="80" w:line="360" w:lineRule="exact"/>
      <w:ind w:left="1406" w:right="2268" w:hanging="1406"/>
    </w:pPr>
    <w:rPr>
      <w:rFonts w:eastAsiaTheme="minorHAnsi" w:cstheme="minorBidi"/>
      <w:b/>
      <w:color w:val="000000"/>
      <w:lang w:eastAsia="en-US"/>
    </w:rPr>
  </w:style>
  <w:style w:type="character" w:customStyle="1" w:styleId="TableofFiguresChar">
    <w:name w:val="Table of Figures Char"/>
    <w:basedOn w:val="DefaultParagraphFont"/>
    <w:link w:val="TableofFigures"/>
    <w:uiPriority w:val="99"/>
    <w:rsid w:val="002E796A"/>
    <w:rPr>
      <w:rFonts w:ascii="Arial" w:hAnsi="Arial"/>
      <w:b/>
      <w:color w:val="000000"/>
    </w:rPr>
  </w:style>
  <w:style w:type="paragraph" w:customStyle="1" w:styleId="StandardohneAbstand">
    <w:name w:val="Standard ohne Abstand"/>
    <w:basedOn w:val="Normal"/>
    <w:rsid w:val="00035A34"/>
  </w:style>
  <w:style w:type="table" w:styleId="TableGrid">
    <w:name w:val="Table Grid"/>
    <w:basedOn w:val="TableNormal"/>
    <w:rsid w:val="00035A34"/>
    <w:pPr>
      <w:spacing w:after="0" w:line="240" w:lineRule="auto"/>
    </w:pPr>
    <w:rPr>
      <w:rFonts w:ascii="CG Times (W1)" w:hAnsi="CG Times (W1)"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A34"/>
    <w:pPr>
      <w:tabs>
        <w:tab w:val="center" w:pos="4536"/>
        <w:tab w:val="right" w:pos="9072"/>
      </w:tabs>
      <w:spacing w:line="240" w:lineRule="auto"/>
    </w:pPr>
  </w:style>
  <w:style w:type="character" w:customStyle="1" w:styleId="HeaderChar">
    <w:name w:val="Header Char"/>
    <w:basedOn w:val="DefaultParagraphFont"/>
    <w:link w:val="Header"/>
    <w:uiPriority w:val="99"/>
    <w:rsid w:val="00035A34"/>
    <w:rPr>
      <w:rFonts w:ascii="Arial" w:eastAsia="Times New Roman" w:hAnsi="Arial" w:cs="Times New Roman"/>
      <w:lang w:eastAsia="de-DE"/>
    </w:rPr>
  </w:style>
  <w:style w:type="paragraph" w:styleId="Footer">
    <w:name w:val="footer"/>
    <w:basedOn w:val="Normal"/>
    <w:link w:val="FooterChar"/>
    <w:uiPriority w:val="99"/>
    <w:unhideWhenUsed/>
    <w:rsid w:val="00035A34"/>
    <w:pPr>
      <w:tabs>
        <w:tab w:val="center" w:pos="4536"/>
        <w:tab w:val="right" w:pos="9072"/>
      </w:tabs>
      <w:spacing w:line="240" w:lineRule="auto"/>
    </w:pPr>
  </w:style>
  <w:style w:type="character" w:customStyle="1" w:styleId="FooterChar">
    <w:name w:val="Footer Char"/>
    <w:basedOn w:val="DefaultParagraphFont"/>
    <w:link w:val="Footer"/>
    <w:uiPriority w:val="99"/>
    <w:rsid w:val="00035A34"/>
    <w:rPr>
      <w:rFonts w:ascii="Arial" w:eastAsia="Times New Roman" w:hAnsi="Arial" w:cs="Times New Roman"/>
      <w:lang w:eastAsia="de-DE"/>
    </w:rPr>
  </w:style>
  <w:style w:type="table" w:customStyle="1" w:styleId="TableGrid1">
    <w:name w:val="Table Grid1"/>
    <w:basedOn w:val="TableNormal"/>
    <w:next w:val="TableGrid"/>
    <w:rsid w:val="00A32C03"/>
    <w:pPr>
      <w:spacing w:after="0" w:line="240" w:lineRule="auto"/>
    </w:pPr>
    <w:rPr>
      <w:rFonts w:ascii="CG Times (W1)" w:hAnsi="CG Times (W1)"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ileData">
    <w:name w:val="Profile Data"/>
    <w:basedOn w:val="Normal"/>
    <w:link w:val="ProfileDataChar"/>
    <w:qFormat/>
    <w:rsid w:val="00A96DDC"/>
    <w:pPr>
      <w:framePr w:hSpace="142" w:wrap="around" w:vAnchor="page" w:hAnchor="page" w:x="6238" w:y="6193"/>
      <w:spacing w:line="200" w:lineRule="exact"/>
    </w:pPr>
    <w:rPr>
      <w:rFonts w:cs="Arial"/>
      <w:color w:val="000000"/>
      <w:sz w:val="16"/>
      <w:szCs w:val="16"/>
      <w:lang w:val="en-GB"/>
    </w:rPr>
  </w:style>
  <w:style w:type="character" w:customStyle="1" w:styleId="ProfileDataChar">
    <w:name w:val="Profile Data Char"/>
    <w:basedOn w:val="DefaultParagraphFont"/>
    <w:link w:val="ProfileData"/>
    <w:rsid w:val="00A96DDC"/>
    <w:rPr>
      <w:rFonts w:ascii="Arial" w:eastAsia="Times New Roman" w:hAnsi="Arial" w:cs="Arial"/>
      <w:color w:val="000000"/>
      <w:sz w:val="16"/>
      <w:szCs w:val="16"/>
      <w:lang w:val="en-GB" w:eastAsia="de-DE"/>
    </w:rPr>
  </w:style>
  <w:style w:type="paragraph" w:customStyle="1" w:styleId="Footer1">
    <w:name w:val="Footer1"/>
    <w:basedOn w:val="Normal"/>
    <w:link w:val="Footer1Char"/>
    <w:qFormat/>
    <w:rsid w:val="00A96DDC"/>
    <w:pPr>
      <w:framePr w:hSpace="144" w:wrap="around" w:vAnchor="page" w:hAnchor="page" w:x="9289" w:y="6553"/>
      <w:spacing w:line="200" w:lineRule="exact"/>
    </w:pPr>
    <w:rPr>
      <w:rFonts w:cs="Arial"/>
      <w:color w:val="000000"/>
      <w:sz w:val="16"/>
      <w:szCs w:val="14"/>
      <w:lang w:val="en-GB"/>
    </w:rPr>
  </w:style>
  <w:style w:type="character" w:customStyle="1" w:styleId="Footer1Char">
    <w:name w:val="Footer1 Char"/>
    <w:basedOn w:val="DefaultParagraphFont"/>
    <w:link w:val="Footer1"/>
    <w:rsid w:val="00A96DDC"/>
    <w:rPr>
      <w:rFonts w:ascii="Arial" w:eastAsia="Times New Roman" w:hAnsi="Arial" w:cs="Arial"/>
      <w:color w:val="000000"/>
      <w:sz w:val="16"/>
      <w:szCs w:val="14"/>
      <w:lang w:val="en-GB" w:eastAsia="de-DE"/>
    </w:rPr>
  </w:style>
  <w:style w:type="table" w:customStyle="1" w:styleId="Tabellenraster1">
    <w:name w:val="Tabellenraster1"/>
    <w:basedOn w:val="TableNormal"/>
    <w:next w:val="TableGrid"/>
    <w:rsid w:val="00A96DDC"/>
    <w:pPr>
      <w:spacing w:after="0" w:line="240" w:lineRule="auto"/>
    </w:pPr>
    <w:rPr>
      <w:rFonts w:ascii="CG Times (W1)" w:hAnsi="CG Times (W1)"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4A1C"/>
    <w:rPr>
      <w:color w:val="808080"/>
    </w:rPr>
  </w:style>
  <w:style w:type="character" w:styleId="Strong">
    <w:name w:val="Strong"/>
    <w:uiPriority w:val="22"/>
    <w:rsid w:val="005B4A1C"/>
    <w:rPr>
      <w:rFonts w:cs="Arial"/>
      <w:color w:val="000000"/>
      <w:sz w:val="16"/>
      <w:szCs w:val="14"/>
      <w:lang w:val="en-GB"/>
    </w:rPr>
  </w:style>
  <w:style w:type="paragraph" w:customStyle="1" w:styleId="Footerdata">
    <w:name w:val="Footer_data"/>
    <w:basedOn w:val="Normal"/>
    <w:qFormat/>
    <w:rsid w:val="005B4A1C"/>
    <w:pPr>
      <w:framePr w:hSpace="144" w:wrap="around" w:vAnchor="page" w:hAnchor="page" w:x="9289" w:y="6553"/>
      <w:spacing w:after="200" w:line="200" w:lineRule="exact"/>
    </w:pPr>
    <w:rPr>
      <w:sz w:val="16"/>
    </w:rPr>
  </w:style>
  <w:style w:type="paragraph" w:styleId="Title">
    <w:name w:val="Title"/>
    <w:basedOn w:val="Normal"/>
    <w:next w:val="Normal"/>
    <w:link w:val="TitleChar"/>
    <w:uiPriority w:val="10"/>
    <w:qFormat/>
    <w:rsid w:val="00E1419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419B"/>
    <w:rPr>
      <w:rFonts w:asciiTheme="majorHAnsi" w:eastAsiaTheme="majorEastAsia" w:hAnsiTheme="majorHAnsi" w:cstheme="majorBidi"/>
      <w:spacing w:val="-10"/>
      <w:kern w:val="28"/>
      <w:sz w:val="56"/>
      <w:szCs w:val="5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lementMetadata xmlns="http://www.made-in-office.com/empower/docs/element/v1">
  <BinaryId>2f065513-5fc4-46a9-b091-0235cc0df7da</BinaryId>
  <ElementId>dabe449b-d1ef-4767-962d-b5711303d1ce</ElementId>
</ElementMetadata>
</file>

<file path=customXml/item2.xml><?xml version="1.0" encoding="utf-8"?>
<DocsTemplateContainer xmlns="http://www.made-in-office.com/empower/docs/template/v1">
  <DocsTextTemplateDictionary/>
  <DocsImageTemplateDictionary/>
  <ImageElements/>
  <TextBlockElements/>
  <PlaceholderHiddenState>
    <HideablePlaceholderGuids/>
  </PlaceholderHiddenState>
</DocsTemplateContainer>
</file>

<file path=customXml/itemProps1.xml><?xml version="1.0" encoding="utf-8"?>
<ds:datastoreItem xmlns:ds="http://schemas.openxmlformats.org/officeDocument/2006/customXml" ds:itemID="{76E71C68-2238-4012-A0CD-0198BA193E98}">
  <ds:schemaRefs>
    <ds:schemaRef ds:uri="http://www.made-in-office.com/empower/docs/element/v1"/>
  </ds:schemaRefs>
</ds:datastoreItem>
</file>

<file path=customXml/itemProps2.xml><?xml version="1.0" encoding="utf-8"?>
<ds:datastoreItem xmlns:ds="http://schemas.openxmlformats.org/officeDocument/2006/customXml" ds:itemID="{433A7B3A-E895-4B67-B462-E1F6C8B62427}">
  <ds:schemaRefs>
    <ds:schemaRef ds:uri="http://www.made-in-office.com/empower/docs/template/v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Lea Vaas</dc:creator>
  <cp:keywords/>
  <dc:description/>
  <cp:lastModifiedBy>Lea Vaas</cp:lastModifiedBy>
  <cp:revision>2</cp:revision>
  <dcterms:created xsi:type="dcterms:W3CDTF">2023-11-09T11:49:00Z</dcterms:created>
  <dcterms:modified xsi:type="dcterms:W3CDTF">2023-11-13T10:55:00Z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MSIP_Label_7f850223-87a8-40c3-9eb2-432606efca2a_Enabled">
    <vt:lpwstr>true</vt:lpwstr>
  </property>
  <property fmtid="{D5CDD505-2E9C-101B-9397-08002B2CF9AE}" pid="4" name="MSIP_Label_7f850223-87a8-40c3-9eb2-432606efca2a_SetDate">
    <vt:lpwstr>2023-11-11T20:50:14Z</vt:lpwstr>
  </property>
  <property fmtid="{D5CDD505-2E9C-101B-9397-08002B2CF9AE}" pid="5" name="MSIP_Label_7f850223-87a8-40c3-9eb2-432606efca2a_Method">
    <vt:lpwstr>Standard</vt:lpwstr>
  </property>
  <property fmtid="{D5CDD505-2E9C-101B-9397-08002B2CF9AE}" pid="6" name="MSIP_Label_7f850223-87a8-40c3-9eb2-432606efca2a_Name">
    <vt:lpwstr>7f850223-87a8-40c3-9eb2-432606efca2a</vt:lpwstr>
  </property>
  <property fmtid="{D5CDD505-2E9C-101B-9397-08002B2CF9AE}" pid="7" name="MSIP_Label_7f850223-87a8-40c3-9eb2-432606efca2a_SiteId">
    <vt:lpwstr>fcb2b37b-5da0-466b-9b83-0014b67a7c78</vt:lpwstr>
  </property>
  <property fmtid="{D5CDD505-2E9C-101B-9397-08002B2CF9AE}" pid="8" name="MSIP_Label_7f850223-87a8-40c3-9eb2-432606efca2a_ActionId">
    <vt:lpwstr>2b52f9c2-b19f-47ec-aa83-4a0dd25cb805</vt:lpwstr>
  </property>
  <property fmtid="{D5CDD505-2E9C-101B-9397-08002B2CF9AE}" pid="9" name="MSIP_Label_7f850223-87a8-40c3-9eb2-432606efca2a_ContentBits">
    <vt:lpwstr>0</vt:lpwstr>
  </property>
</Properties>
</file>